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DF" w:rsidRDefault="00C136B8">
      <w:pPr>
        <w:pStyle w:val="ConsPlusNormal0"/>
        <w:outlineLvl w:val="0"/>
      </w:pPr>
      <w:r>
        <w:t>Зарегистрировано в Минюсте России 3 февраля 2021 г. N 62351</w:t>
      </w:r>
    </w:p>
    <w:p w:rsidR="006B5BDF" w:rsidRDefault="006B5BD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</w:pPr>
      <w:r>
        <w:t>МИНИСТЕРСТВО ПРИРОДНЫХ РЕСУРСОВ И ЭКОЛОГИИ</w:t>
      </w:r>
    </w:p>
    <w:p w:rsidR="006B5BDF" w:rsidRDefault="00C136B8">
      <w:pPr>
        <w:pStyle w:val="ConsPlusTitle0"/>
        <w:jc w:val="center"/>
      </w:pPr>
      <w:r>
        <w:t>РОССИЙСКОЙ ФЕДЕРАЦИИ</w:t>
      </w:r>
    </w:p>
    <w:p w:rsidR="006B5BDF" w:rsidRDefault="006B5BDF">
      <w:pPr>
        <w:pStyle w:val="ConsPlusTitle0"/>
        <w:jc w:val="center"/>
      </w:pPr>
    </w:p>
    <w:p w:rsidR="006B5BDF" w:rsidRDefault="00C136B8">
      <w:pPr>
        <w:pStyle w:val="ConsPlusTitle0"/>
        <w:jc w:val="center"/>
      </w:pPr>
      <w:r>
        <w:t>ПРИКАЗ</w:t>
      </w:r>
    </w:p>
    <w:p w:rsidR="006B5BDF" w:rsidRDefault="00C136B8">
      <w:pPr>
        <w:pStyle w:val="ConsPlusTitle0"/>
        <w:jc w:val="center"/>
      </w:pPr>
      <w:r>
        <w:t>от 29 октября 2020 г. N 865</w:t>
      </w:r>
    </w:p>
    <w:p w:rsidR="006B5BDF" w:rsidRDefault="006B5BDF">
      <w:pPr>
        <w:pStyle w:val="ConsPlusTitle0"/>
        <w:jc w:val="center"/>
      </w:pPr>
    </w:p>
    <w:p w:rsidR="006B5BDF" w:rsidRDefault="00C136B8">
      <w:pPr>
        <w:pStyle w:val="ConsPlusTitle0"/>
        <w:jc w:val="center"/>
      </w:pPr>
      <w:r>
        <w:t>ОБ УТВЕРЖДЕНИИ ПОРЯДКА</w:t>
      </w:r>
    </w:p>
    <w:p w:rsidR="006B5BDF" w:rsidRDefault="00C136B8">
      <w:pPr>
        <w:pStyle w:val="ConsPlusTitle0"/>
        <w:jc w:val="center"/>
      </w:pPr>
      <w:r>
        <w:t>ГОСУДАРСТВЕННОГО УЧЕТА И ВЕДЕНИЯ ГОСУДАРСТВЕННОГО РЕЕСТРА</w:t>
      </w:r>
    </w:p>
    <w:p w:rsidR="006B5BDF" w:rsidRDefault="00C136B8">
      <w:pPr>
        <w:pStyle w:val="ConsPlusTitle0"/>
        <w:jc w:val="center"/>
      </w:pPr>
      <w:r>
        <w:t xml:space="preserve">РАБОТ ПО ГЕОЛОГИЧЕСКОМУ ИЗУЧЕНИЮ НЕДР, </w:t>
      </w:r>
      <w:proofErr w:type="gramStart"/>
      <w:r>
        <w:t>ГОСУДАРСТВЕННОГО</w:t>
      </w:r>
      <w:proofErr w:type="gramEnd"/>
    </w:p>
    <w:p w:rsidR="006B5BDF" w:rsidRDefault="00C136B8">
      <w:pPr>
        <w:pStyle w:val="ConsPlusTitle0"/>
        <w:jc w:val="center"/>
      </w:pPr>
      <w:r>
        <w:t>РЕЕСТРА УЧАСТКОВ НЕДР, ПРЕДОСТАВЛЕННЫХ В ПОЛЬЗОВАНИЕ,</w:t>
      </w:r>
    </w:p>
    <w:p w:rsidR="006B5BDF" w:rsidRDefault="00C136B8">
      <w:pPr>
        <w:pStyle w:val="ConsPlusTitle0"/>
        <w:jc w:val="center"/>
      </w:pPr>
      <w:r>
        <w:t>И ЛИЦЕНЗИЙ НА ПОЛЬЗОВАНИЕ УЧАСТКАМИ НЕДР</w:t>
      </w:r>
    </w:p>
    <w:p w:rsidR="006B5BDF" w:rsidRDefault="006B5B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B5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BDF" w:rsidRDefault="00C136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BDF" w:rsidRDefault="00C136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27.12.2021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</w:tr>
    </w:tbl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5.2.1</w:t>
        </w:r>
      </w:hyperlink>
      <w:r>
        <w:t xml:space="preserve"> Положения о Министерстве природных ресурсов и экологии Российской Федерац</w:t>
      </w:r>
      <w:r>
        <w:t>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2892, 2020, официальный интернет-портал правовой информации http://www.pr</w:t>
      </w:r>
      <w:r>
        <w:t>avo.gov.ru, 15.10.2020), приказываю:</w:t>
      </w:r>
      <w:proofErr w:type="gramEnd"/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</w:t>
      </w:r>
      <w:r>
        <w:t>вание, и лицензий на пользование участками недр.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tooltip="Приказ Минприроды России от 03.04.2013 N 121 (ред. от 09.12.2014) &quot;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">
        <w:r>
          <w:rPr>
            <w:color w:val="0000FF"/>
          </w:rPr>
          <w:t>приказ</w:t>
        </w:r>
      </w:hyperlink>
      <w:r>
        <w:t xml:space="preserve"> Министерства природ</w:t>
      </w:r>
      <w:r>
        <w:t xml:space="preserve">ных ресурсов и экологии Российской Федерации от 3 апреля 2013 г. N 121 "Об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</w:t>
      </w:r>
      <w:r>
        <w:t>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</w:t>
      </w:r>
      <w:proofErr w:type="gramEnd"/>
      <w:r>
        <w:t xml:space="preserve">, и лицензий на пользование недрами" (зарегистрирован Министерством юстиции Российской </w:t>
      </w:r>
      <w:r>
        <w:t>Федерации 9 августа 2013 г., регистрационный N 29324).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3. Настоящий приказ вступает в силу по истечении 30 дней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jc w:val="right"/>
      </w:pPr>
      <w:r>
        <w:t>Министр</w:t>
      </w:r>
    </w:p>
    <w:p w:rsidR="006B5BDF" w:rsidRDefault="00C136B8">
      <w:pPr>
        <w:pStyle w:val="ConsPlusNormal0"/>
        <w:jc w:val="right"/>
      </w:pPr>
      <w:r>
        <w:t>Д.Н.КОБЫЛКИН</w:t>
      </w: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jc w:val="right"/>
        <w:outlineLvl w:val="0"/>
      </w:pPr>
      <w:r>
        <w:t>Утвержден</w:t>
      </w:r>
    </w:p>
    <w:p w:rsidR="006B5BDF" w:rsidRDefault="00C136B8">
      <w:pPr>
        <w:pStyle w:val="ConsPlusNormal0"/>
        <w:jc w:val="right"/>
      </w:pPr>
      <w:r>
        <w:t>приказом Минприроды России</w:t>
      </w:r>
    </w:p>
    <w:p w:rsidR="006B5BDF" w:rsidRDefault="00C136B8">
      <w:pPr>
        <w:pStyle w:val="ConsPlusNormal0"/>
        <w:jc w:val="right"/>
      </w:pPr>
      <w:r>
        <w:t>от 29 октября 2020 г. N 865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</w:pPr>
      <w:bookmarkStart w:id="0" w:name="P34"/>
      <w:bookmarkEnd w:id="0"/>
      <w:r>
        <w:t>ПОРЯДОК</w:t>
      </w:r>
    </w:p>
    <w:p w:rsidR="006B5BDF" w:rsidRDefault="00C136B8">
      <w:pPr>
        <w:pStyle w:val="ConsPlusTitle0"/>
        <w:jc w:val="center"/>
      </w:pPr>
      <w:r>
        <w:t>ГОСУДАРСТВЕННОГО УЧЕТА И ВЕДЕНИЯ ГОСУДАРСТВЕННОГО РЕЕСТРА</w:t>
      </w:r>
    </w:p>
    <w:p w:rsidR="006B5BDF" w:rsidRDefault="00C136B8">
      <w:pPr>
        <w:pStyle w:val="ConsPlusTitle0"/>
        <w:jc w:val="center"/>
      </w:pPr>
      <w:r>
        <w:t xml:space="preserve">РАБОТ ПО ГЕОЛОГИЧЕСКОМУ ИЗУЧЕНИЮ НЕДР, </w:t>
      </w:r>
      <w:proofErr w:type="gramStart"/>
      <w:r>
        <w:t>ГОСУДАРСТВЕННОГО</w:t>
      </w:r>
      <w:proofErr w:type="gramEnd"/>
    </w:p>
    <w:p w:rsidR="006B5BDF" w:rsidRDefault="00C136B8">
      <w:pPr>
        <w:pStyle w:val="ConsPlusTitle0"/>
        <w:jc w:val="center"/>
      </w:pPr>
      <w:r>
        <w:t>РЕЕСТРА УЧАСТКОВ НЕДР, ПРЕДОСТАВЛЕННЫХ В ПОЛЬЗОВАНИЕ,</w:t>
      </w:r>
    </w:p>
    <w:p w:rsidR="006B5BDF" w:rsidRDefault="00C136B8">
      <w:pPr>
        <w:pStyle w:val="ConsPlusTitle0"/>
        <w:jc w:val="center"/>
      </w:pPr>
      <w:r>
        <w:t>И ЛИЦЕНЗИЙ НА ПОЛЬЗОВАНИЕ УЧАСТКАМИ НЕДР</w:t>
      </w:r>
    </w:p>
    <w:p w:rsidR="006B5BDF" w:rsidRDefault="006B5BD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6B5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5BDF" w:rsidRDefault="00C136B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BDF" w:rsidRDefault="00C136B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27.12.2021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BDF" w:rsidRDefault="006B5BDF">
            <w:pPr>
              <w:pStyle w:val="ConsPlusNormal0"/>
            </w:pPr>
          </w:p>
        </w:tc>
      </w:tr>
    </w:tbl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  <w:outlineLvl w:val="1"/>
      </w:pPr>
      <w:r>
        <w:t>I. Общие положения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ind w:firstLine="540"/>
        <w:jc w:val="both"/>
      </w:pPr>
      <w:r>
        <w:t xml:space="preserve">1. Настоящий Порядок разработан в соответствии с </w:t>
      </w:r>
      <w:hyperlink r:id="rId10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5.2.1</w:t>
        </w:r>
      </w:hyperlink>
      <w:r>
        <w:t xml:space="preserve"> Положения о Министерст</w:t>
      </w:r>
      <w:r>
        <w:t xml:space="preserve">ве </w:t>
      </w:r>
      <w:r>
        <w:lastRenderedPageBreak/>
        <w:t xml:space="preserve">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>2020, N 42, ст. 6635), и регламентируе</w:t>
      </w:r>
      <w:r>
        <w:t>т процедуру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недр.</w:t>
      </w:r>
      <w:proofErr w:type="gramEnd"/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2. В соответствии со </w:t>
      </w:r>
      <w:hyperlink r:id="rId11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28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t>2019, N 52, ст. 7823) (далее - Закон Российской Федера</w:t>
      </w:r>
      <w:r>
        <w:t>ции "О недрах"), 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недр.</w:t>
      </w:r>
      <w:proofErr w:type="gramEnd"/>
      <w:r>
        <w:t xml:space="preserve"> Государственный учет участков недр, предоставленных в пользование, и лицензий на </w:t>
      </w:r>
      <w:r>
        <w:t>пользование недрами осуществляется посредством ведения государственного реестра участков недр, предоставленных в пользование, и лицензий на пользование недрами.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3. Сведения, содержащиеся в государственном реестре работ по геологическому изучению недр (дале</w:t>
      </w:r>
      <w:r>
        <w:t>е - государственный реестр работ) и государственном реестре участков недр предоставленных в пользование, и лицензий на пользование участками недр (далее - государственный реестр участков недр), подлежат постоянному хранению. В случае изменения сведений, со</w:t>
      </w:r>
      <w:r>
        <w:t>держащихся в государственном реестре работ и государственном реестре участков недр, ранее внесенные сведения сохраняются. Удаление записей государственного реестра работ и государственного реестра участков недр не допускается, за исключением удаления запис</w:t>
      </w:r>
      <w:r>
        <w:t xml:space="preserve">ей, внесенных в результате технической ошибки, порядок исправления которой предусмотрен </w:t>
      </w:r>
      <w:hyperlink w:anchor="P124" w:tooltip="16. Техническая ошибка (описка, опечатка, грамматическая или арифметическая ошибка либо подобная ошибка), допущенная при внесении записи в государственный реестр работ и приведшая к несоответствию сведений, содержащихся в государственном реестре, сведениям, со">
        <w:r>
          <w:rPr>
            <w:color w:val="0000FF"/>
          </w:rPr>
          <w:t>пунктами 16</w:t>
        </w:r>
      </w:hyperlink>
      <w:r>
        <w:t xml:space="preserve"> и </w:t>
      </w:r>
      <w:hyperlink w:anchor="P184" w:tooltip="27. Техническая ошибка (описка, опечатка, грамматическая или арифметическая ошибка либо иные ошибки), допущенная при внесении записи в государственный реестр участков недр и приведшая к несоответствию сведений, содержащихся в государственном реестре, сведениям">
        <w:r>
          <w:rPr>
            <w:color w:val="0000FF"/>
          </w:rPr>
          <w:t>27</w:t>
        </w:r>
      </w:hyperlink>
      <w:r>
        <w:t xml:space="preserve"> настоящего Порядка.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Сведения, содержащиеся в государственном реестре работ и госу</w:t>
      </w:r>
      <w:r>
        <w:t>дарственном реестре участков недр, являются открытыми и общедоступными.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>Сведения, содержащиеся на дату вступления в силу настоящего Порядка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</w:t>
      </w:r>
      <w:r>
        <w:t xml:space="preserve"> пользование участками недр подлежат включению в государственный реестр работ и государственный реестр участков недр без внесения в них изменений.</w:t>
      </w:r>
      <w:proofErr w:type="gramEnd"/>
    </w:p>
    <w:p w:rsidR="006B5BDF" w:rsidRDefault="00C136B8">
      <w:pPr>
        <w:pStyle w:val="ConsPlusNormal0"/>
        <w:spacing w:before="200"/>
        <w:ind w:firstLine="540"/>
        <w:jc w:val="both"/>
      </w:pPr>
      <w:r>
        <w:t>Приведение реестровых записей, внесенных в государственный реестр работ и государственный реестр участков нед</w:t>
      </w:r>
      <w:r>
        <w:t xml:space="preserve">р, указанных в </w:t>
      </w:r>
      <w:hyperlink w:anchor="P49" w:tooltip="4. Сведения, содержащиеся на дату вступления в силу настоящего Порядка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">
        <w:r>
          <w:rPr>
            <w:color w:val="0000FF"/>
          </w:rPr>
          <w:t>абзаце первом пункта 4</w:t>
        </w:r>
      </w:hyperlink>
      <w:r>
        <w:t xml:space="preserve"> настоящего Порядка, в соответствие с требованиями, установленными к их содержанию </w:t>
      </w:r>
      <w:hyperlink w:anchor="P67" w:tooltip="12. Государственный реестр работ должен содержать следующие сведения:">
        <w:r>
          <w:rPr>
            <w:color w:val="0000FF"/>
          </w:rPr>
          <w:t>пун</w:t>
        </w:r>
        <w:r>
          <w:rPr>
            <w:color w:val="0000FF"/>
          </w:rPr>
          <w:t>ктами 12</w:t>
        </w:r>
      </w:hyperlink>
      <w:r>
        <w:t xml:space="preserve"> и </w:t>
      </w:r>
      <w:hyperlink w:anchor="P143" w:tooltip="20. Государственный реестр участков недр должен содержать следующие сведения:">
        <w:r>
          <w:rPr>
            <w:color w:val="0000FF"/>
          </w:rPr>
          <w:t>20</w:t>
        </w:r>
      </w:hyperlink>
      <w:r>
        <w:t xml:space="preserve"> настоящего Порядка, осуществляется при внесении изменений в указанные реестровые записи.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Сведения об участках недр местного значени</w:t>
      </w:r>
      <w:r>
        <w:t xml:space="preserve">я, предоставленных в пользование до даты вступления в силу настоящего Порядка, и лицензиях на пользование участками недр местного значения, государственная регистрация которых осуществлена до даты вступления в силу настоящего Порядка, предусмотренные </w:t>
      </w:r>
      <w:hyperlink w:anchor="P143" w:tooltip="20. Государственный реестр участков недр должен содержать следующие сведения:">
        <w:r>
          <w:rPr>
            <w:color w:val="0000FF"/>
          </w:rPr>
          <w:t>пунктом 20</w:t>
        </w:r>
      </w:hyperlink>
      <w:r>
        <w:t xml:space="preserve"> настоящего Порядка (с приложением электронных образов лицензий на пользование недрами со всеми приложениями), представляются органами государс</w:t>
      </w:r>
      <w:r>
        <w:t>твенной власти субъектов Российской Федерации в Федеральное</w:t>
      </w:r>
      <w:proofErr w:type="gramEnd"/>
      <w:r>
        <w:t xml:space="preserve"> агентство по недропользованию для включения в государственный реестр участков недр.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Предоставление указанных сведений осуществляется в электронном виде с использованием официального сайта Федераль</w:t>
      </w:r>
      <w:r>
        <w:t>ного агентства по недропользованию в информационно-телекоммуникационной сети "Интернет" в рамках межведомственного электронного взаимодействия.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gramStart"/>
      <w:r>
        <w:t>Орган государственной власти субъекта Российской Федерации вправе при осуществлении межведомственного электронно</w:t>
      </w:r>
      <w:r>
        <w:t xml:space="preserve">го взаимодействия привлекать исполнителя по государственному контракту, заключенному в соответствии с Федеральным </w:t>
      </w:r>
      <w:hyperlink r:id="rId1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5 апреля</w:t>
      </w:r>
      <w:r>
        <w:t xml:space="preserve">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</w:t>
      </w:r>
      <w:proofErr w:type="gramStart"/>
      <w:r>
        <w:t>2022, N 1, ст. 45) (далее - Федеральный закон "О конт</w:t>
      </w:r>
      <w:r>
        <w:t>рактной системе в сфере закупок товаров, работ, услуг для обеспечения государственных и муниципальных нужд)", либо уполномоченное государственное учреждение, подведомственное органу государственной власти субъекта Российской Федерации.</w:t>
      </w:r>
      <w:proofErr w:type="gramEnd"/>
    </w:p>
    <w:p w:rsidR="006B5BDF" w:rsidRDefault="00C136B8">
      <w:pPr>
        <w:pStyle w:val="ConsPlusNormal0"/>
        <w:jc w:val="both"/>
      </w:pPr>
      <w:r>
        <w:t xml:space="preserve">(абзац введен </w:t>
      </w:r>
      <w:hyperlink r:id="rId13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Сведения, содержащиеся в госуда</w:t>
      </w:r>
      <w:r>
        <w:t xml:space="preserve">рственном реестре работ и государственном реестре участков </w:t>
      </w:r>
      <w:r>
        <w:lastRenderedPageBreak/>
        <w:t>недр, могут включаться в иные государственные информационные ресурсы, а также использоваться в информационных целях для осуществления управления государственным фондом недр, ведения государственног</w:t>
      </w:r>
      <w:r>
        <w:t>о баланса запасов полезных ископаемых и государственного кадастра месторождений и проявлений полезных ископаемых, предупреждения опасных природных процессов и явлений и устранения их последствий, обеспечения обороны страны и безопасности государства</w:t>
      </w:r>
      <w:proofErr w:type="gramEnd"/>
      <w:r>
        <w:t>, орган</w:t>
      </w:r>
      <w:r>
        <w:t>изации и осуществления государственного контроля (надзора).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  <w:outlineLvl w:val="1"/>
      </w:pPr>
      <w:r>
        <w:t>II. Государственный учет и ведение государственного реестра</w:t>
      </w:r>
    </w:p>
    <w:p w:rsidR="006B5BDF" w:rsidRDefault="00C136B8">
      <w:pPr>
        <w:pStyle w:val="ConsPlusTitle0"/>
        <w:jc w:val="center"/>
      </w:pPr>
      <w:r>
        <w:t>работ по геологическому изучению недр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ind w:firstLine="540"/>
        <w:jc w:val="both"/>
      </w:pPr>
      <w:r>
        <w:t>7. Ведение государственного реестра работ осуществляется Федеральным агентством по недропользова</w:t>
      </w:r>
      <w:r>
        <w:t>нию с привлечением Федерального государственного казенного учреждения "</w:t>
      </w:r>
      <w:proofErr w:type="spellStart"/>
      <w:r>
        <w:t>Росгеолэкспертиза</w:t>
      </w:r>
      <w:proofErr w:type="spellEnd"/>
      <w:r>
        <w:t>" (далее - ФГКУ "</w:t>
      </w:r>
      <w:proofErr w:type="spellStart"/>
      <w:r>
        <w:t>Росгеолэкспертиза</w:t>
      </w:r>
      <w:proofErr w:type="spellEnd"/>
      <w:r>
        <w:t>").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Государственному учету в государственном реестре работ подлежат работы по региональному геологическому изучению недр, геологиче</w:t>
      </w:r>
      <w:r>
        <w:t>скому изучению недр, включая поиски и оценку месторождений полезных ископаемых, разведке месторождений полезных ископаемых, предусмотренные проектной документацией на осуществление регионального геологического изучения недр, геологического изучения недр, в</w:t>
      </w:r>
      <w:r>
        <w:t xml:space="preserve">ключая поиски и оценку месторождений полезных ископаемых, разведки месторождений полезных ископаемых, по которой получено положительное заключение экспертизы в соответствии со </w:t>
      </w:r>
      <w:hyperlink r:id="rId1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36.1</w:t>
        </w:r>
      </w:hyperlink>
      <w:r>
        <w:t xml:space="preserve"> Закона Российской Федерации "О недрах" (Ведомости Съез</w:t>
      </w:r>
      <w:r>
        <w:t>да народных депутатов Российской Федерации и Верховного Совета Российской Федерации, 1992, N 16, ст. 834; Собрание законодательства Российской Федерации, 2021, N 18, ст. 3067) (далее - проектная документация на геологическое изучение недр).</w:t>
      </w:r>
    </w:p>
    <w:p w:rsidR="006B5BDF" w:rsidRDefault="00C136B8">
      <w:pPr>
        <w:pStyle w:val="ConsPlusNormal0"/>
        <w:jc w:val="both"/>
      </w:pPr>
      <w:r>
        <w:t xml:space="preserve">(п. 8 в ред. </w:t>
      </w:r>
      <w:hyperlink r:id="rId15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9. Государственный реестр работ вед</w:t>
      </w:r>
      <w:r>
        <w:t xml:space="preserve">ется в электронном виде путем формирования или изменения реестровых записей, в которые включаются сведения, указанные в </w:t>
      </w:r>
      <w:hyperlink w:anchor="P67" w:tooltip="12. Государственный реестр работ должен содержать следующие сведения:">
        <w:r>
          <w:rPr>
            <w:color w:val="0000FF"/>
          </w:rPr>
          <w:t>пункте 12</w:t>
        </w:r>
      </w:hyperlink>
      <w:r>
        <w:t xml:space="preserve"> настоящего Порядка, на осно</w:t>
      </w:r>
      <w:r>
        <w:t xml:space="preserve">вании данных для формирования или изменения реестровой записи, предусмотренных </w:t>
      </w:r>
      <w:hyperlink w:anchor="P64" w:tooltip="10. ФГКУ &quot;Росгеолэкспертиза&quot; в течение 3 рабочих дней с даты выдачи положительного заключения экспертизы проектной документации на геологическое изучение недр или дополнения к проектной документации на геологическое изучение недр представляет в Федеральное аге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2" w:name="P64"/>
      <w:bookmarkEnd w:id="2"/>
      <w:r>
        <w:t xml:space="preserve">10. </w:t>
      </w:r>
      <w:proofErr w:type="gramStart"/>
      <w:r>
        <w:t>ФГКУ "</w:t>
      </w:r>
      <w:proofErr w:type="spellStart"/>
      <w:r>
        <w:t>Росгеолэкспертиза</w:t>
      </w:r>
      <w:proofErr w:type="spellEnd"/>
      <w:r>
        <w:t>" в течение 3 рабочих дней с даты выдачи положительного заключения экспертизы проек</w:t>
      </w:r>
      <w:r>
        <w:t xml:space="preserve">тной документации на геологическое изучение недр или дополнения к проектной документации на геологическое изучение недр представляет в Федеральное агентство по недропользованию данные о работах по региональному геологическому изучению недр, геологическому </w:t>
      </w:r>
      <w:r>
        <w:t>изучению недр, включая поиски и оценку месторождений полезных ископаемых, разведке месторождений полезных ископаемых, предусмотренных проектной документацией на</w:t>
      </w:r>
      <w:proofErr w:type="gramEnd"/>
      <w:r>
        <w:t xml:space="preserve"> геологическое изучение недр или дополнением к проектной документации на геологическое изучение </w:t>
      </w:r>
      <w:r>
        <w:t>недр, в электронном виде с использованием официального сайта Федерального агентства по недропользованию в информационно-телекоммуникационной сети "Интернет".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16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3" w:name="P66"/>
      <w:bookmarkEnd w:id="3"/>
      <w:r>
        <w:t>11. Должностное лицо Федерального агентства по недропользованию, ответственное за внесение сведений в государственный реест</w:t>
      </w:r>
      <w:r>
        <w:t xml:space="preserve">р работ, не позднее 2 рабочих дней </w:t>
      </w:r>
      <w:proofErr w:type="gramStart"/>
      <w:r>
        <w:t>с даты получения</w:t>
      </w:r>
      <w:proofErr w:type="gramEnd"/>
      <w:r>
        <w:t xml:space="preserve"> данных для заполнения формы реестровой записи от ФГКУ "</w:t>
      </w:r>
      <w:proofErr w:type="spellStart"/>
      <w:r>
        <w:t>Росгеолэкспертиза</w:t>
      </w:r>
      <w:proofErr w:type="spellEnd"/>
      <w:r>
        <w:t>" вносит указанные данные в государственный реестр работ.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4" w:name="P67"/>
      <w:bookmarkEnd w:id="4"/>
      <w:r>
        <w:t>12. Государственный реестр работ должен содержать следующие сведения: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а) д</w:t>
      </w:r>
      <w:r>
        <w:t>ата регистрации работ и государственный регистрационный номер;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б) наименование объекта работ, а также кадастровый номер месторождения или проявления полезных ископаемых в государственном кадастре месторождений и проявлений полезных ископаемых (при наличии)</w:t>
      </w:r>
      <w:r>
        <w:t>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в) сведения об основании проведения работ: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номер и дата государственной регистрации лицензии на пользование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номер и дата контракта на выполнение работ по геологическому изучению недр (в том числе региональному), заключенного в соответствии с Фед</w:t>
      </w:r>
      <w:r>
        <w:t xml:space="preserve">еральным </w:t>
      </w:r>
      <w:hyperlink r:id="rId1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нужд");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18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номер и дата утверждения государств</w:t>
      </w:r>
      <w:r>
        <w:t>енного задания;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lastRenderedPageBreak/>
        <w:t xml:space="preserve">г) наименование проектной документации на геологическое изучение недр, номер и дата заключения экспертизы проектной документации на геологическое изучение недр, проводимой в соответствии со </w:t>
      </w:r>
      <w:hyperlink r:id="rId1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36.1</w:t>
        </w:r>
      </w:hyperlink>
      <w:r>
        <w:t xml:space="preserve"> Закона Российской Федера</w:t>
      </w:r>
      <w:r>
        <w:t>ции "О недрах", с учетом дополнений к проектной документации на геологическое изучение недр, а также подготовленной новой проектной документацией взамен действующей;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местонахождение объекта работ;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е) координаты угловых точек объекта работ;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ж) основные виды работ, этап геологического изучения недр, перечень и объемы основных видов работ по геологическому изучению недр;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наименование полезного ископаемого;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и) общая инвестиционная (сметная) стоимость работ в соответствии с проектной документа</w:t>
      </w:r>
      <w:r>
        <w:t>цией на геологическое изучение недр и источник их финансирования;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21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к) сведения о пользователе недр (наименование, организационно-правовая форма, индивидуальный номер налогоплательщика (для юридических лиц); фамилия, имя, отчество (при наличии), индивидуальный номер налогоплательщик</w:t>
      </w:r>
      <w:r>
        <w:t>а (для индивидуальных предпринимателей), аналог идентификационного номера налогоплательщика (для иностранного лица), а также сведения о том, проводятся ли работы пользователем недр самостоятельно или с привлечением подрядчика;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22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л) сроки (квартал, год) выполнения работ (начало и око</w:t>
      </w:r>
      <w:r>
        <w:t>нчание);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м) сроки (квартал, год) сдачи отчетных документов в фонды геологической информации;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spellStart"/>
      <w:r>
        <w:t>н</w:t>
      </w:r>
      <w:proofErr w:type="spellEnd"/>
      <w:r>
        <w:t>) особые отметки.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3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13. Каждый объект работ, сведения о котором внесены в государственный реестр работ, имеет уникальный государственный реестровый номер, представляющий собой соче</w:t>
      </w:r>
      <w:r>
        <w:t>тание трех групп цифр, разделенных дефисом и присваиваемых в следующем порядке: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первая группа цифр - индекс территории, на которой планируется проведение работ согласно </w:t>
      </w:r>
      <w:hyperlink w:anchor="P201" w:tooltip="ИНДЕКСЫ">
        <w:r>
          <w:rPr>
            <w:color w:val="0000FF"/>
          </w:rPr>
          <w:t>приложению</w:t>
        </w:r>
      </w:hyperlink>
      <w:r>
        <w:t xml:space="preserve"> к настоящему Порядку;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вторая группа ци</w:t>
      </w:r>
      <w:r>
        <w:t>фр - последние две цифры календарного года, в котором осуществлено внесение сведений в государственный реестр работ;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третья группа цифр - порядковый номер объекта работ в государственном реестре работ.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Сведения об основных видах работ включаются в государс</w:t>
      </w:r>
      <w:r>
        <w:t>твенный реестр работ в виде буквенных аббревиатур:</w:t>
      </w:r>
    </w:p>
    <w:p w:rsidR="006B5BDF" w:rsidRDefault="006B5BDF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304"/>
      </w:tblGrid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Геолого-съемочные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ГСР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Геолого-поисковые, разведочные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ГРР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Гидрогеологические исследования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ГГИ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Геофизические исследования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ГФИ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Геохимические исследования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ГХИ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Инженерно-геологические изыскания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ИГИ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Эколого-геологические исследования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ЭГИ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Мониторинг геологической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МОН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lastRenderedPageBreak/>
              <w:t>Тематические, опытно-методические, научно-исследовательские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ТЕМ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Картосоставительские и картоиздательские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ККР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Геолого-экономические, технологические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ГЭР</w:t>
            </w:r>
          </w:p>
        </w:tc>
      </w:tr>
      <w:tr w:rsidR="006B5BDF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5BDF" w:rsidRDefault="00C136B8">
            <w:pPr>
              <w:pStyle w:val="ConsPlusNormal0"/>
              <w:ind w:left="283"/>
            </w:pPr>
            <w:r>
              <w:t>Иные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BDF" w:rsidRDefault="00C136B8">
            <w:pPr>
              <w:pStyle w:val="ConsPlusNormal0"/>
              <w:jc w:val="right"/>
            </w:pPr>
            <w:r>
              <w:t>ИНР</w:t>
            </w:r>
          </w:p>
        </w:tc>
      </w:tr>
    </w:tbl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ind w:firstLine="540"/>
        <w:jc w:val="both"/>
      </w:pPr>
      <w:r>
        <w:t>14. Изменение сведений, внесенных в государственный реестр работ, является основанием для внесения изменений в соответствующую запись государственного реестра.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gramStart"/>
      <w:r>
        <w:t>Заказчик работ по геологическому изучению недр, проводимых за счет государственных средств, направляет в ФГКУ "</w:t>
      </w:r>
      <w:proofErr w:type="spellStart"/>
      <w:r>
        <w:t>Росгеолэкспертиза</w:t>
      </w:r>
      <w:proofErr w:type="spellEnd"/>
      <w:r>
        <w:t>" сведения об исполнителе работ не позднее 5 рабочих дней с даты заключения контракта на выполнение работ по геологическому изуч</w:t>
      </w:r>
      <w:r>
        <w:t>ению недр в случае, если ранее на экспертизу представлялась проектная документация на геологическое изучение недр, подготовленная на основании контракта на проектирование работ по геологическому изучению недр, заключенного</w:t>
      </w:r>
      <w:proofErr w:type="gramEnd"/>
      <w:r>
        <w:t xml:space="preserve"> в соответствии с Федеральным </w:t>
      </w:r>
      <w:hyperlink r:id="rId24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B5BDF" w:rsidRDefault="00C136B8">
      <w:pPr>
        <w:pStyle w:val="ConsPlusNormal0"/>
        <w:jc w:val="both"/>
      </w:pPr>
      <w:r>
        <w:t>(абзац введен</w:t>
      </w:r>
      <w:r>
        <w:t xml:space="preserve"> </w:t>
      </w:r>
      <w:hyperlink r:id="rId25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15. Внесение изменений в госуда</w:t>
      </w:r>
      <w:r>
        <w:t xml:space="preserve">рственный реестр работ осуществляется в порядке и сроки, предусмотренные </w:t>
      </w:r>
      <w:hyperlink w:anchor="P64" w:tooltip="10. ФГКУ &quot;Росгеолэкспертиза&quot; в течение 3 рабочих дней с даты выдачи положительного заключения экспертизы проектной документации на геологическое изучение недр или дополнения к проектной документации на геологическое изучение недр представляет в Федеральное аге">
        <w:r>
          <w:rPr>
            <w:color w:val="0000FF"/>
          </w:rPr>
          <w:t>пунктами 10</w:t>
        </w:r>
      </w:hyperlink>
      <w:r>
        <w:t xml:space="preserve"> и </w:t>
      </w:r>
      <w:hyperlink w:anchor="P66" w:tooltip="11. Должностное лицо Федерального агентства по недропользованию, ответственное за внесение сведений в государственный реестр работ, не позднее 2 рабочих дней с даты получения данных для заполнения формы реестровой записи от ФГКУ &quot;Росгеолэкспертиза&quot; вносит указ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5" w:name="P124"/>
      <w:bookmarkEnd w:id="5"/>
      <w:r>
        <w:t xml:space="preserve">16. </w:t>
      </w:r>
      <w:proofErr w:type="gramStart"/>
      <w:r>
        <w:t>Техническая ошибка (описка, опечатка, грамматическая или арифметическа</w:t>
      </w:r>
      <w:r>
        <w:t>я ошибка либо подобная ошибка), допущенная при внесении записи в государственный реестр работ и приведшая к несоответствию сведений, содержащихся в государственном реестре, сведениям, содержащимся в проектной документации на геологическое изучение недр, на</w:t>
      </w:r>
      <w:r>
        <w:t xml:space="preserve"> основании которых вносились сведения в государственный реестр работ, исправляется по решению Федерального агентства по недропользованию в течение 3 рабочих дней со дня</w:t>
      </w:r>
      <w:proofErr w:type="gramEnd"/>
      <w:r>
        <w:t xml:space="preserve"> ее обнаружения.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26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  <w:outlineLvl w:val="1"/>
      </w:pPr>
      <w:r>
        <w:t xml:space="preserve">III. Государственный учет и ведение </w:t>
      </w:r>
      <w:proofErr w:type="gramStart"/>
      <w:r>
        <w:t>государственного</w:t>
      </w:r>
      <w:proofErr w:type="gramEnd"/>
    </w:p>
    <w:p w:rsidR="006B5BDF" w:rsidRDefault="00C136B8">
      <w:pPr>
        <w:pStyle w:val="ConsPlusTitle0"/>
        <w:jc w:val="center"/>
      </w:pPr>
      <w:r>
        <w:t>реестра участков недр, предоставленных в п</w:t>
      </w:r>
      <w:r>
        <w:t>ользование,</w:t>
      </w:r>
    </w:p>
    <w:p w:rsidR="006B5BDF" w:rsidRDefault="00C136B8">
      <w:pPr>
        <w:pStyle w:val="ConsPlusTitle0"/>
        <w:jc w:val="center"/>
      </w:pPr>
      <w:r>
        <w:t>и лицензий на пользование участками недр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ind w:firstLine="540"/>
        <w:jc w:val="both"/>
      </w:pPr>
      <w:r>
        <w:t>17. Ведение государственного реестра участков недр осуществляется Федеральным агентством по недропользованию с привлечением ФГКУ "</w:t>
      </w:r>
      <w:proofErr w:type="spellStart"/>
      <w:r>
        <w:t>Росгеолэкспертиза</w:t>
      </w:r>
      <w:proofErr w:type="spellEnd"/>
      <w:r>
        <w:t>".</w:t>
      </w:r>
    </w:p>
    <w:p w:rsidR="006B5BDF" w:rsidRDefault="00C136B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18. Государственному учету в государственном реестре участков недр подлежат у</w:t>
      </w:r>
      <w:r>
        <w:t>частки недр, предоставленные в пользование, и лицензии на пользование участками недр.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19. Государственный реестр участков недр ведется в электронном виде путем формирования или изменения реестровых записей, в которые включаются сведения, указанные в </w:t>
      </w:r>
      <w:hyperlink w:anchor="P143" w:tooltip="20. Государственный реестр участков недр должен содержать следующие сведения:">
        <w:r>
          <w:rPr>
            <w:color w:val="0000FF"/>
          </w:rPr>
          <w:t>пункте 20</w:t>
        </w:r>
      </w:hyperlink>
      <w:r>
        <w:t xml:space="preserve"> настоящего Порядка, на основании данных для заполнения форм реестровой записи.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6" w:name="P135"/>
      <w:bookmarkEnd w:id="6"/>
      <w:r>
        <w:t>Реестровая запись государственного реестра участков недр формируе</w:t>
      </w:r>
      <w:r>
        <w:t>тся:</w:t>
      </w:r>
    </w:p>
    <w:p w:rsidR="006B5BDF" w:rsidRDefault="00C136B8">
      <w:pPr>
        <w:pStyle w:val="ConsPlusNormal0"/>
        <w:jc w:val="both"/>
      </w:pPr>
      <w:r>
        <w:t xml:space="preserve">(абзац введен </w:t>
      </w:r>
      <w:hyperlink r:id="rId28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а) в автомати</w:t>
      </w:r>
      <w:r>
        <w:t xml:space="preserve">ческом режиме на основании данных, содержащихся в лицензии на пользование недрами в форме электронного документа или приложении к ней в форме электронного документа (в отношении данных, предусмотренных </w:t>
      </w:r>
      <w:hyperlink w:anchor="P144" w:tooltip="а) государственный регистрационный номер лицензии на пользование недрами, электронный образ лицензии на пользование недрами со всеми приложениями или лицензию на пользование недрами в форме электронного документа;">
        <w:r>
          <w:rPr>
            <w:color w:val="0000FF"/>
          </w:rPr>
          <w:t>подпунктами "а"</w:t>
        </w:r>
      </w:hyperlink>
      <w:r>
        <w:t xml:space="preserve"> - </w:t>
      </w:r>
      <w:hyperlink w:anchor="P149" w:tooltip="д) наименование участка недр, предоставленного в пользование по лицензии на пользование недрами;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53" w:tooltip="е) наименование субъекта Российской Федерации или иной территории, на которой расположен участок недр;">
        <w:r>
          <w:rPr>
            <w:color w:val="0000FF"/>
          </w:rPr>
          <w:t>"е"</w:t>
        </w:r>
      </w:hyperlink>
      <w:r>
        <w:t xml:space="preserve"> - </w:t>
      </w:r>
      <w:hyperlink w:anchor="P158" w:tooltip="к) наименование органа, выдавшего лицензию на пользование недрами;">
        <w:r>
          <w:rPr>
            <w:color w:val="0000FF"/>
          </w:rPr>
          <w:t>"к"</w:t>
        </w:r>
      </w:hyperlink>
      <w:r>
        <w:t xml:space="preserve">, </w:t>
      </w:r>
      <w:hyperlink w:anchor="P160" w:tooltip="м) реквизиты изменений и дополнений в лицензию на пользование недрами, их электронные образы или приложение к лицензии на пользование недрами в форме электронного документа;">
        <w:r>
          <w:rPr>
            <w:color w:val="0000FF"/>
          </w:rPr>
          <w:t>"м"</w:t>
        </w:r>
      </w:hyperlink>
      <w:r>
        <w:t xml:space="preserve">, </w:t>
      </w:r>
      <w:hyperlink w:anchor="P165" w:tooltip="п) дата окончания срока действия лицензии на пользование недрами;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66" w:tooltip="р) сведения о реестровых записях в отношении ранее выданных лицензий на пользование соответствующим участком недр.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 пункта 20</w:t>
        </w:r>
      </w:hyperlink>
      <w:r>
        <w:t xml:space="preserve"> настоящего Порядка);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29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б) на основании сведений из государственного кадастра месторождений и проявлений полезных ископаемых (при наличии) (в отношении данных, предусмотренных </w:t>
      </w:r>
      <w:hyperlink w:anchor="P151" w:tooltip="д.1) кадастровый номер месторождения или проявления полезных ископаемых в государственном кадастре месторождений и проявлений полезных ископаемых (при наличии);">
        <w:r>
          <w:rPr>
            <w:color w:val="0000FF"/>
          </w:rPr>
          <w:t>подпунктом "д.1" пункта 20</w:t>
        </w:r>
      </w:hyperlink>
      <w:r>
        <w:t xml:space="preserve"> настоящего Порядка);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30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7" w:name="P141"/>
      <w:bookmarkEnd w:id="7"/>
      <w:r>
        <w:t xml:space="preserve">в) на основании решений органов, указанных в </w:t>
      </w:r>
      <w:hyperlink r:id="rId31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части второй стат</w:t>
        </w:r>
        <w:r>
          <w:rPr>
            <w:color w:val="0000FF"/>
          </w:rPr>
          <w:t>ьи 10.1</w:t>
        </w:r>
      </w:hyperlink>
      <w:r>
        <w:t xml:space="preserve">, </w:t>
      </w:r>
      <w:hyperlink r:id="rId32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части четвертой статьи 12.1</w:t>
        </w:r>
      </w:hyperlink>
      <w:r>
        <w:t xml:space="preserve"> и </w:t>
      </w:r>
      <w:hyperlink r:id="rId33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части первой статьи 21</w:t>
        </w:r>
      </w:hyperlink>
      <w:r>
        <w:t xml:space="preserve"> Закона Российской Федерации "О недрах" (Ведомости Съезда народных депутатов Российской Федерации и Верховного Совета Российской Федерации, 1992, N 16, ст. 834; </w:t>
      </w:r>
      <w:proofErr w:type="gramStart"/>
      <w:r>
        <w:lastRenderedPageBreak/>
        <w:t>Собрание</w:t>
      </w:r>
      <w:r>
        <w:t xml:space="preserve"> законодательства Российской Федерации, 2021, N 18, ст. 3067) (в отношении данных, предусмотренных </w:t>
      </w:r>
      <w:hyperlink w:anchor="P159" w:tooltip="л) реквизиты документа, на основании которого выдана лицензия на пользование недрами;">
        <w:r>
          <w:rPr>
            <w:color w:val="0000FF"/>
          </w:rPr>
          <w:t>подпунктами "л"</w:t>
        </w:r>
      </w:hyperlink>
      <w:r>
        <w:t xml:space="preserve"> и </w:t>
      </w:r>
      <w:hyperlink w:anchor="P163" w:tooltip="о) сведения о прекращении права пользования недрами, в том числе досрочном, приостановлении осуществления права пользования недрами и ограничении права пользования недрами по лицензии на пользование недрами (реквизиты соответствующего протокола или приказа, да">
        <w:r>
          <w:rPr>
            <w:color w:val="0000FF"/>
          </w:rPr>
          <w:t>"о" пункта 20</w:t>
        </w:r>
      </w:hyperlink>
      <w:r>
        <w:t xml:space="preserve"> настоящего Порядка).</w:t>
      </w:r>
      <w:proofErr w:type="gramEnd"/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4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</w:t>
      </w:r>
      <w:r>
        <w:t>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8" w:name="P143"/>
      <w:bookmarkEnd w:id="8"/>
      <w:r>
        <w:t>20. Государственный реестр участков недр должен содержать следующие сведения: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9" w:name="P144"/>
      <w:bookmarkEnd w:id="9"/>
      <w:r>
        <w:t>а) государственный регистрационный номер лицензии на пользование недрами, электронный образ лицензии на пользование недрами со всеми приложениями и</w:t>
      </w:r>
      <w:r>
        <w:t>ли лицензию на пользование недрами в форме электронного документа;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35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</w:t>
        </w:r>
        <w:r>
          <w:rPr>
            <w:color w:val="0000FF"/>
          </w:rPr>
          <w:t>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б) дата присвоения государственного регистрационного номера лицензии на пользование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в) целевое назначение лицензии на пользования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г) вид полезного ископаемого;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0" w:name="P149"/>
      <w:bookmarkEnd w:id="10"/>
      <w:proofErr w:type="spellStart"/>
      <w:r>
        <w:t>д</w:t>
      </w:r>
      <w:proofErr w:type="spellEnd"/>
      <w:r>
        <w:t>) наименование участка недр, предоставленного в пользование по лицензии на пользование недрами;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36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1" w:name="P151"/>
      <w:bookmarkEnd w:id="11"/>
      <w:r>
        <w:t>д.1) кадастровый номер месторождения или проявления полезных ископаемых в государственном кадастре месторождений и проявлений полезных ископаемых (при наличии);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"д.1" </w:t>
      </w:r>
      <w:proofErr w:type="gramStart"/>
      <w:r>
        <w:t>введен</w:t>
      </w:r>
      <w:proofErr w:type="gramEnd"/>
      <w:r>
        <w:t xml:space="preserve"> </w:t>
      </w:r>
      <w:hyperlink r:id="rId37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Приказом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2" w:name="P153"/>
      <w:bookmarkEnd w:id="12"/>
      <w:r>
        <w:t>е) наименование субъекта Российской Ф</w:t>
      </w:r>
      <w:r>
        <w:t>едерации или иной территории, на которой расположен участок недр;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ж) географические координаты угловых точек участка недр, верхняя и нижняя границы участка недр;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статус участка недр (участок недр федерального значения, участок недр местного значения, уч</w:t>
      </w:r>
      <w:r>
        <w:t>асток недр, не относящийся к участкам недр федерального значения или местного значения);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gramStart"/>
      <w:r>
        <w:t>и) сведения о пользователе недр (наименование, организационно-правовая форма, индивидуальный номер налогоплательщика (для юридических лиц); фамилия, имя, отчество (при</w:t>
      </w:r>
      <w:r>
        <w:t xml:space="preserve"> наличии), индивидуальный номер налогоплательщика (для индивидуальных предпринимателей), аналог идентификационного номера налогоплательщика (для иностранного лица);</w:t>
      </w:r>
      <w:proofErr w:type="gramEnd"/>
    </w:p>
    <w:p w:rsidR="006B5BDF" w:rsidRDefault="00C136B8">
      <w:pPr>
        <w:pStyle w:val="ConsPlusNormal0"/>
        <w:jc w:val="both"/>
      </w:pPr>
      <w:r>
        <w:t xml:space="preserve">(в ред. </w:t>
      </w:r>
      <w:hyperlink r:id="rId38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3" w:name="P158"/>
      <w:bookmarkEnd w:id="13"/>
      <w:r>
        <w:t>к) наименование органа, выдавшего лицензию на пользование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4" w:name="P159"/>
      <w:bookmarkEnd w:id="14"/>
      <w:r>
        <w:t>л) реквизиты документа, на основании которого выд</w:t>
      </w:r>
      <w:r>
        <w:t>ана лицензия на пользование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5" w:name="P160"/>
      <w:bookmarkEnd w:id="15"/>
      <w:r>
        <w:t>м) реквизиты изменений и дополнений в лицензию на пользование недрами, их электронные образы или приложение к лицензии на пользование недрами в форме электронного документа;</w:t>
      </w:r>
    </w:p>
    <w:p w:rsidR="006B5BDF" w:rsidRDefault="00C136B8">
      <w:pPr>
        <w:pStyle w:val="ConsPlusNormal0"/>
        <w:jc w:val="both"/>
      </w:pPr>
      <w:r>
        <w:t xml:space="preserve">(в ред. </w:t>
      </w:r>
      <w:hyperlink r:id="rId39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spellStart"/>
      <w:r>
        <w:t>н</w:t>
      </w:r>
      <w:proofErr w:type="spellEnd"/>
      <w:r>
        <w:t>) сведения о переоформлении лицензии на пользование недрами, содержащ</w:t>
      </w:r>
      <w:r>
        <w:t>ие ссылку на реестровую запись переоформленной лицензии;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6" w:name="P163"/>
      <w:bookmarkEnd w:id="16"/>
      <w:proofErr w:type="gramStart"/>
      <w:r>
        <w:t xml:space="preserve">о) сведения о прекращении права пользования недрами, в том числе досрочном, приостановлении осуществления права пользования недрами и ограничении права пользования недрами по лицензии на пользование </w:t>
      </w:r>
      <w:r>
        <w:t>недрами (реквизиты соответствующего протокола или приказа, дата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недрами, срок и условия приостановления о</w:t>
      </w:r>
      <w:r>
        <w:t>существления права пользования недрами или ограничения</w:t>
      </w:r>
      <w:proofErr w:type="gramEnd"/>
      <w:r>
        <w:t xml:space="preserve"> права пользования недрами);</w:t>
      </w:r>
    </w:p>
    <w:p w:rsidR="006B5BDF" w:rsidRDefault="00C136B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40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7" w:name="P165"/>
      <w:bookmarkEnd w:id="17"/>
      <w:proofErr w:type="spellStart"/>
      <w:r>
        <w:t>п</w:t>
      </w:r>
      <w:proofErr w:type="spellEnd"/>
      <w:r>
        <w:t>) дата окончания срока действия лицензии на пользование недрами;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8" w:name="P166"/>
      <w:bookmarkEnd w:id="18"/>
      <w:proofErr w:type="spellStart"/>
      <w:r>
        <w:t>р</w:t>
      </w:r>
      <w:proofErr w:type="spellEnd"/>
      <w:r>
        <w:t>) сведения о реестровых записях в отношении ранее выданных лицензий на пользование соответствующим участком недр.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21. Госуд</w:t>
      </w:r>
      <w:r>
        <w:t xml:space="preserve">арственная регистрация лицензии на пользование недрами или приложения к ней осуществляется посредством внесения записи о государственной регистрации лицензии или приложения к </w:t>
      </w:r>
      <w:r>
        <w:lastRenderedPageBreak/>
        <w:t>ней в государственном реестре участков недр.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Формирование государственного регист</w:t>
      </w:r>
      <w:r>
        <w:t>рационного номера лицензии на пользование недрами осуществляется в государственном реестре участков недр в автоматическом режиме. Сформированный государственный регистрационный номер проставляется на бланке лицензии на пользование недрами.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Государственный </w:t>
      </w:r>
      <w:r>
        <w:t>учет участков недр, предоставленных в пользование, осуществляется посредством учета лицензии на пользование указанным участком недр в соответствующей ей реестровой записи.</w:t>
      </w:r>
    </w:p>
    <w:p w:rsidR="006B5BDF" w:rsidRDefault="00C136B8">
      <w:pPr>
        <w:pStyle w:val="ConsPlusNormal0"/>
        <w:jc w:val="both"/>
      </w:pPr>
      <w:r>
        <w:t xml:space="preserve">(п. 21 в ред. </w:t>
      </w:r>
      <w:hyperlink r:id="rId41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19" w:name="P171"/>
      <w:bookmarkEnd w:id="19"/>
      <w:r>
        <w:t xml:space="preserve">22. Утратил силу. - </w:t>
      </w:r>
      <w:hyperlink r:id="rId42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</w:t>
        </w:r>
      </w:hyperlink>
      <w:r>
        <w:t xml:space="preserve"> Минприроды России от 27.12.2021 N 1011.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23. </w:t>
      </w:r>
      <w:proofErr w:type="gramStart"/>
      <w:r>
        <w:t>Формирование или изменение реестровых записей государственного реестра участков недр осуществляется Федеральным а</w:t>
      </w:r>
      <w:r>
        <w:t>гентством по недропользованию и его территориальными органами с привлечением ФГКУ "</w:t>
      </w:r>
      <w:proofErr w:type="spellStart"/>
      <w:r>
        <w:t>Росгеолэкспертиза</w:t>
      </w:r>
      <w:proofErr w:type="spellEnd"/>
      <w:r>
        <w:t>", а также органами государственной власти субъектов Российской Федерации в отношении участков недр местного значения и лицензий на пользование участками не</w:t>
      </w:r>
      <w:r>
        <w:t xml:space="preserve">др местного значения, в порядке, предусмотренном </w:t>
      </w:r>
      <w:hyperlink w:anchor="P135" w:tooltip="Реестровая запись государственного реестра участков недр формируется: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1" w:tooltip="в) на основании решений органов, указанных в части второй статьи 10.1, части четвертой статьи 12.1 и части первой статьи 21 Закона Российской Федерации &quot;О недрах&quot; (Ведомости Съезда народных депутатов Российской Федерации и Верховного Совета Российской Федераци">
        <w:r>
          <w:rPr>
            <w:color w:val="0000FF"/>
          </w:rPr>
          <w:t>пятым пункта 19</w:t>
        </w:r>
      </w:hyperlink>
      <w:r>
        <w:t xml:space="preserve"> настоящего Порядка, и в сроки, предусмотренные </w:t>
      </w:r>
      <w:hyperlink w:anchor="P175" w:tooltip="25. Сведения о государственной регистрации лицензии на пользование недрами вносятся в государственный реестр участков недр не позднее 1 рабочего дня с даты ее оформления.">
        <w:r>
          <w:rPr>
            <w:color w:val="0000FF"/>
          </w:rPr>
          <w:t>пунктом 25</w:t>
        </w:r>
        <w:proofErr w:type="gramEnd"/>
      </w:hyperlink>
      <w:r>
        <w:t xml:space="preserve"> настоящего Порядка.</w:t>
      </w:r>
    </w:p>
    <w:p w:rsidR="006B5BDF" w:rsidRDefault="00C136B8">
      <w:pPr>
        <w:pStyle w:val="ConsPlusNormal0"/>
        <w:jc w:val="both"/>
      </w:pPr>
      <w:r>
        <w:t xml:space="preserve">(п. 23 в ред. </w:t>
      </w:r>
      <w:hyperlink r:id="rId43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24. Утратил силу. - </w:t>
      </w:r>
      <w:hyperlink r:id="rId44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</w:t>
        </w:r>
      </w:hyperlink>
      <w:r>
        <w:t xml:space="preserve"> Минприроды России от 27.12.2021 N 1011.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20" w:name="P175"/>
      <w:bookmarkEnd w:id="20"/>
      <w:r>
        <w:t>25. Сведения о государственной регистрации лиценз</w:t>
      </w:r>
      <w:r>
        <w:t xml:space="preserve">ии на пользование недрами вносятся в государственный реестр участков недр не позднее 1 рабочего дня </w:t>
      </w:r>
      <w:proofErr w:type="gramStart"/>
      <w:r>
        <w:t>с даты</w:t>
      </w:r>
      <w:proofErr w:type="gramEnd"/>
      <w:r>
        <w:t xml:space="preserve"> ее оформления.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Сведения о внесении изменений в лицензию на пользование недрами вносятся в государственный реестр участков недр не позднее 1 рабочего </w:t>
      </w:r>
      <w:r>
        <w:t xml:space="preserve">дня </w:t>
      </w:r>
      <w:proofErr w:type="gramStart"/>
      <w:r>
        <w:t>с даты</w:t>
      </w:r>
      <w:proofErr w:type="gramEnd"/>
      <w:r>
        <w:t xml:space="preserve"> государственной регистрации соответствующего приложения к лицензии на пользование недрами.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Сведения о переоформлении лицензии на пользование недрами вносятся в государственный реестр участков недр одновременно с государственной регистрацией пере</w:t>
      </w:r>
      <w:r>
        <w:t>оформленной лицензии на пользование недрами.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Сведения о прекращении права пользования недрами, в том числе досрочном, приостановлении осуществления права пользования недрами и ограничении права пользования недрами вносятся в государственный реестр участков</w:t>
      </w:r>
      <w:r>
        <w:t xml:space="preserve"> недр в следующие сроки:</w:t>
      </w:r>
    </w:p>
    <w:p w:rsidR="006B5BDF" w:rsidRDefault="00C136B8">
      <w:pPr>
        <w:pStyle w:val="ConsPlusNormal0"/>
        <w:spacing w:before="200"/>
        <w:ind w:firstLine="540"/>
        <w:jc w:val="both"/>
      </w:pPr>
      <w:proofErr w:type="gramStart"/>
      <w:r>
        <w:t>не позднее 1 рабочего дня со дня размещения в федеральной государственной информационной системе "Автоматизированная система лицензирования недропользования" утвержденного Федеральным агентством по недропользованию или его территор</w:t>
      </w:r>
      <w:r>
        <w:t>иальным органом протокола заседания комиссии, создаваемой Федеральным агентством по недропользованию или его территориальным органом, содержащего решение о прекращении права пользования недрами, в том числе досрочном, приостановлении осуществления права по</w:t>
      </w:r>
      <w:r>
        <w:t>льзования недрами и ограничении права пользования недрами (за</w:t>
      </w:r>
      <w:proofErr w:type="gramEnd"/>
      <w:r>
        <w:t xml:space="preserve"> исключением сведений по участкам недр местного значения);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не позднее 1 рабочего дня, следующего за днем истечения срока действия лицензии на пользование недрами, с использованием специализирован</w:t>
      </w:r>
      <w:r>
        <w:t>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 в автоматическом режиме;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 xml:space="preserve">не позднее 3 рабочих дней с даты </w:t>
      </w:r>
      <w:proofErr w:type="gramStart"/>
      <w:r>
        <w:t>принятия решения уполномоченного орг</w:t>
      </w:r>
      <w:r>
        <w:t>ана государственной власти субъекта Российской Федерации</w:t>
      </w:r>
      <w:proofErr w:type="gramEnd"/>
      <w:r>
        <w:t xml:space="preserve"> о прекращении права пользования недрами, в том числе досрочном, приостановлении осуществления права пользования недрами и ограничении права пользования недрами (в отношении участков недр местного зна</w:t>
      </w:r>
      <w:r>
        <w:t>чения).</w:t>
      </w:r>
    </w:p>
    <w:p w:rsidR="006B5BDF" w:rsidRDefault="00C136B8">
      <w:pPr>
        <w:pStyle w:val="ConsPlusNormal0"/>
        <w:jc w:val="both"/>
      </w:pPr>
      <w:r>
        <w:t xml:space="preserve">(п. 25 в ред. </w:t>
      </w:r>
      <w:hyperlink r:id="rId45" w:tooltip="Приказ Минприроды России от 27.12.2021 N 1011 &quot;О внесении изменений в Порядок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">
        <w:r>
          <w:rPr>
            <w:color w:val="0000FF"/>
          </w:rPr>
          <w:t>Приказа</w:t>
        </w:r>
      </w:hyperlink>
      <w:r>
        <w:t xml:space="preserve"> Минприроды России от 27.12.2021 N 1011)</w:t>
      </w:r>
    </w:p>
    <w:p w:rsidR="006B5BDF" w:rsidRDefault="00C136B8">
      <w:pPr>
        <w:pStyle w:val="ConsPlusNormal0"/>
        <w:spacing w:before="200"/>
        <w:ind w:firstLine="540"/>
        <w:jc w:val="both"/>
      </w:pPr>
      <w:r>
        <w:t>26. Внесени</w:t>
      </w:r>
      <w:r>
        <w:t xml:space="preserve">е изменений в государственный реестр участков недр осуществляется в порядке и сроки, предусмотренные </w:t>
      </w:r>
      <w:hyperlink w:anchor="P171" w:tooltip="22. Утратил силу. - Приказ Минприроды России от 27.12.2021 N 1011.">
        <w:r>
          <w:rPr>
            <w:color w:val="0000FF"/>
          </w:rPr>
          <w:t>пунктами 22</w:t>
        </w:r>
      </w:hyperlink>
      <w:r>
        <w:t xml:space="preserve"> - </w:t>
      </w:r>
      <w:hyperlink w:anchor="P175" w:tooltip="25. Сведения о государственной регистрации лицензии на пользование недрами вносятся в государственный реестр участков недр не позднее 1 рабочего дня с даты ее оформления.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6B5BDF" w:rsidRDefault="00C136B8">
      <w:pPr>
        <w:pStyle w:val="ConsPlusNormal0"/>
        <w:spacing w:before="200"/>
        <w:ind w:firstLine="540"/>
        <w:jc w:val="both"/>
      </w:pPr>
      <w:bookmarkStart w:id="21" w:name="P184"/>
      <w:bookmarkEnd w:id="21"/>
      <w:r>
        <w:t xml:space="preserve">27. </w:t>
      </w:r>
      <w:proofErr w:type="gramStart"/>
      <w:r>
        <w:t xml:space="preserve">Техническая ошибка (описка, опечатка, грамматическая или арифметическая </w:t>
      </w:r>
      <w:r>
        <w:t>ошибка либо иные ошибки), допущенная при внесении записи в государственный реестр участков недр и приведшая к несоответствию сведений, содержащихся в государственном реестре, сведениям, содержащимся в лицензиях, на основании которых вносились сведения в го</w:t>
      </w:r>
      <w:r>
        <w:t>сударственный реестр, исправляется по решению Федерального агентства по недропользованию в течение 3 рабочих дней со дня ее обнаружения.</w:t>
      </w:r>
      <w:proofErr w:type="gramEnd"/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Normal0"/>
        <w:jc w:val="right"/>
        <w:outlineLvl w:val="1"/>
      </w:pPr>
      <w:r>
        <w:t>Приложение</w:t>
      </w:r>
    </w:p>
    <w:p w:rsidR="006B5BDF" w:rsidRDefault="00C136B8">
      <w:pPr>
        <w:pStyle w:val="ConsPlusNormal0"/>
        <w:jc w:val="right"/>
      </w:pPr>
      <w:proofErr w:type="gramStart"/>
      <w:r>
        <w:t>к Порядку государственного</w:t>
      </w:r>
      <w:proofErr w:type="gramEnd"/>
    </w:p>
    <w:p w:rsidR="006B5BDF" w:rsidRDefault="00C136B8">
      <w:pPr>
        <w:pStyle w:val="ConsPlusNormal0"/>
        <w:jc w:val="right"/>
      </w:pPr>
      <w:r>
        <w:t xml:space="preserve">учета и ведения </w:t>
      </w:r>
      <w:proofErr w:type="gramStart"/>
      <w:r>
        <w:t>государственных</w:t>
      </w:r>
      <w:proofErr w:type="gramEnd"/>
    </w:p>
    <w:p w:rsidR="006B5BDF" w:rsidRDefault="00C136B8">
      <w:pPr>
        <w:pStyle w:val="ConsPlusNormal0"/>
        <w:jc w:val="right"/>
      </w:pPr>
      <w:r>
        <w:t xml:space="preserve">реестров работ по </w:t>
      </w:r>
      <w:proofErr w:type="gramStart"/>
      <w:r>
        <w:t>геологическому</w:t>
      </w:r>
      <w:proofErr w:type="gramEnd"/>
    </w:p>
    <w:p w:rsidR="006B5BDF" w:rsidRDefault="00C136B8">
      <w:pPr>
        <w:pStyle w:val="ConsPlusNormal0"/>
        <w:jc w:val="right"/>
      </w:pPr>
      <w:r>
        <w:t>изучению не</w:t>
      </w:r>
      <w:r>
        <w:t>др, участков недр,</w:t>
      </w:r>
    </w:p>
    <w:p w:rsidR="006B5BDF" w:rsidRDefault="00C136B8">
      <w:pPr>
        <w:pStyle w:val="ConsPlusNormal0"/>
        <w:jc w:val="right"/>
      </w:pPr>
      <w:proofErr w:type="gramStart"/>
      <w:r>
        <w:t>предоставленных</w:t>
      </w:r>
      <w:proofErr w:type="gramEnd"/>
      <w:r>
        <w:t xml:space="preserve"> в пользование,</w:t>
      </w:r>
    </w:p>
    <w:p w:rsidR="006B5BDF" w:rsidRDefault="00C136B8">
      <w:pPr>
        <w:pStyle w:val="ConsPlusNormal0"/>
        <w:jc w:val="right"/>
      </w:pPr>
      <w:r>
        <w:t>и лицензий на пользование недрами,</w:t>
      </w:r>
    </w:p>
    <w:p w:rsidR="006B5BDF" w:rsidRDefault="00C136B8">
      <w:pPr>
        <w:pStyle w:val="ConsPlusNormal0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B5BDF" w:rsidRDefault="00C136B8">
      <w:pPr>
        <w:pStyle w:val="ConsPlusNormal0"/>
        <w:jc w:val="right"/>
      </w:pPr>
      <w:r>
        <w:t>Минприроды России</w:t>
      </w:r>
    </w:p>
    <w:p w:rsidR="006B5BDF" w:rsidRDefault="00C136B8">
      <w:pPr>
        <w:pStyle w:val="ConsPlusNormal0"/>
        <w:jc w:val="right"/>
      </w:pPr>
      <w:r>
        <w:t>от 29 октября 2020 г. N 865</w:t>
      </w:r>
    </w:p>
    <w:p w:rsidR="006B5BDF" w:rsidRDefault="006B5BDF">
      <w:pPr>
        <w:pStyle w:val="ConsPlusNormal0"/>
        <w:jc w:val="both"/>
      </w:pPr>
    </w:p>
    <w:p w:rsidR="006B5BDF" w:rsidRDefault="00C136B8">
      <w:pPr>
        <w:pStyle w:val="ConsPlusTitle0"/>
        <w:jc w:val="center"/>
      </w:pPr>
      <w:bookmarkStart w:id="22" w:name="P201"/>
      <w:bookmarkEnd w:id="22"/>
      <w:r>
        <w:t>ИНДЕКСЫ</w:t>
      </w:r>
    </w:p>
    <w:p w:rsidR="006B5BDF" w:rsidRDefault="00C136B8">
      <w:pPr>
        <w:pStyle w:val="ConsPlusTitle0"/>
        <w:jc w:val="center"/>
      </w:pPr>
      <w:r>
        <w:t xml:space="preserve">ТЕРРИТОРИЙ, НА </w:t>
      </w:r>
      <w:proofErr w:type="gramStart"/>
      <w:r>
        <w:t>КОТОРОЙ</w:t>
      </w:r>
      <w:proofErr w:type="gramEnd"/>
      <w:r>
        <w:t xml:space="preserve"> ПЛАНИРУЕТСЯ ПРОВЕДЕНИЕ</w:t>
      </w:r>
    </w:p>
    <w:p w:rsidR="006B5BDF" w:rsidRDefault="00C136B8">
      <w:pPr>
        <w:pStyle w:val="ConsPlusTitle0"/>
        <w:jc w:val="center"/>
      </w:pPr>
      <w:r>
        <w:t>РАБОТ ПО РЕГИОНАЛЬНОМУ ГЕОЛОГИЧЕСКОМУ ИЗУЧЕНИЮ НЕДР,</w:t>
      </w:r>
    </w:p>
    <w:p w:rsidR="006B5BDF" w:rsidRDefault="00C136B8">
      <w:pPr>
        <w:pStyle w:val="ConsPlusTitle0"/>
        <w:jc w:val="center"/>
      </w:pPr>
      <w:r>
        <w:t>ГЕОЛОГИЧЕСКОМУ ИЗУЧЕНИЮ НЕДР, ВКЛЮЧАЯ ПОИСКИ И ОЦЕНКУ</w:t>
      </w:r>
    </w:p>
    <w:p w:rsidR="006B5BDF" w:rsidRDefault="00C136B8">
      <w:pPr>
        <w:pStyle w:val="ConsPlusTitle0"/>
        <w:jc w:val="center"/>
      </w:pPr>
      <w:r>
        <w:t>МЕСТОРОЖДЕНИЙ ПОЛЕЗНЫХ ИСКОПАЕМЫХ, РАЗВЕДКЕ</w:t>
      </w:r>
    </w:p>
    <w:p w:rsidR="006B5BDF" w:rsidRDefault="00C136B8">
      <w:pPr>
        <w:pStyle w:val="ConsPlusTitle0"/>
        <w:jc w:val="center"/>
      </w:pPr>
      <w:r>
        <w:t>МЕСТОРОЖДЕНИЙ ПОЛЕЗНЫХ ИСКОПАЕМЫХ</w:t>
      </w:r>
    </w:p>
    <w:p w:rsidR="006B5BDF" w:rsidRDefault="006B5BD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57"/>
        <w:gridCol w:w="1134"/>
      </w:tblGrid>
      <w:tr w:rsidR="006B5BDF">
        <w:tc>
          <w:tcPr>
            <w:tcW w:w="680" w:type="dxa"/>
          </w:tcPr>
          <w:p w:rsidR="006B5BDF" w:rsidRDefault="00C136B8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7" w:type="dxa"/>
          </w:tcPr>
          <w:p w:rsidR="006B5BDF" w:rsidRDefault="00C136B8">
            <w:pPr>
              <w:pStyle w:val="ConsPlusNormal0"/>
              <w:jc w:val="center"/>
            </w:pPr>
            <w:r>
              <w:t>Регион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jc w:val="center"/>
            </w:pPr>
            <w:r>
              <w:t>Индекс</w:t>
            </w:r>
          </w:p>
        </w:tc>
      </w:tr>
      <w:tr w:rsidR="006B5BDF">
        <w:tc>
          <w:tcPr>
            <w:tcW w:w="680" w:type="dxa"/>
          </w:tcPr>
          <w:p w:rsidR="006B5BDF" w:rsidRDefault="00C136B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Российская Федерация (в целом)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643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57" w:type="dxa"/>
            <w:vAlign w:val="bottom"/>
          </w:tcPr>
          <w:p w:rsidR="006B5BDF" w:rsidRDefault="00C136B8">
            <w:pPr>
              <w:pStyle w:val="ConsPlusNormal0"/>
              <w:ind w:firstLine="283"/>
            </w:pPr>
            <w:proofErr w:type="gramStart"/>
            <w:r>
              <w:t>Внутренние морские воды, территориальное море, континентальный шельф Российской Федерации, Арктика и Антарктика, Черное и Азовское моря, в пределах которых Российская Федерация осуществляет суверенитет, суверенные права или юрисдикцию в связи с принятием в</w:t>
            </w:r>
            <w:r>
              <w:t xml:space="preserve">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российский сектор Каспийского моря</w:t>
            </w:r>
            <w:proofErr w:type="gramEnd"/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643М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Центральный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Северо-Западный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Южный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040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Приволжский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Уральский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Сибирский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Дальневосточный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proofErr w:type="spellStart"/>
            <w:r>
              <w:t>Северо-Кавказский</w:t>
            </w:r>
            <w:proofErr w:type="spellEnd"/>
            <w:r>
              <w:t xml:space="preserve"> федеральный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Алтайский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Амурская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Архангельская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Астраханская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Белгородская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Брянская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Владимирская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Волгоградская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Вологодская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Воронежская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Город федерального значения Москва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Город федерального значения Санкт-Петербург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Город федерального значения Севастополь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Еврейская автономная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Забайкальский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Ивановская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Иркутская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Кабардино-Балкарская Республика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Калининградская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Калужская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Камчатский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Карачаево-Черкесская Республика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Кемеровская область - Кузбасс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Кировская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Костромская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Краснодарский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Красноярский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Курганская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Курская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Ленинградская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Липецкая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Магаданская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Московская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Мурманская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Нижегородская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Новгородская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49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Новосибирская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Омская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Оренбургская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lastRenderedPageBreak/>
              <w:t>50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Орловская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Пензенская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Пермский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Приморский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Псковская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58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Адыгея (Адыгея)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Алтай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Башкортостан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Бурятия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Дагестан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Ингушетия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Калмыкия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Карелия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Коми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Крым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Марий Эл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Мордовия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89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Саха (Якутия)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Северная Осетия - Алания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Татарстан (Татарстан)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92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Тыва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Республика Хакасия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Ростовская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Рязанская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Самарская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36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Саратовская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Сахалинская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Свердловская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Смоленская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Ставропольский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Тамбовская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Тверская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28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lastRenderedPageBreak/>
              <w:t>82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Томская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69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Тульская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Тюменская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71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Удмуртская Республика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94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Ульяновская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73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Хабаровский край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08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71100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Челябинская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75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Чеченская Республика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96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Чувашская Республика - Чувашия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97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Чукотский автономный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77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Ямало-Ненецкий автономный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71140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Ярославская область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78</w:t>
            </w:r>
          </w:p>
        </w:tc>
      </w:tr>
      <w:tr w:rsidR="006B5BDF">
        <w:tc>
          <w:tcPr>
            <w:tcW w:w="680" w:type="dxa"/>
            <w:vAlign w:val="center"/>
          </w:tcPr>
          <w:p w:rsidR="006B5BDF" w:rsidRDefault="00C136B8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7257" w:type="dxa"/>
            <w:vAlign w:val="center"/>
          </w:tcPr>
          <w:p w:rsidR="006B5BDF" w:rsidRDefault="00C136B8">
            <w:pPr>
              <w:pStyle w:val="ConsPlusNormal0"/>
              <w:ind w:firstLine="283"/>
              <w:jc w:val="both"/>
            </w:pPr>
            <w:r>
              <w:t>Ненецкий автономный округ</w:t>
            </w:r>
          </w:p>
        </w:tc>
        <w:tc>
          <w:tcPr>
            <w:tcW w:w="1134" w:type="dxa"/>
          </w:tcPr>
          <w:p w:rsidR="006B5BDF" w:rsidRDefault="00C136B8">
            <w:pPr>
              <w:pStyle w:val="ConsPlusNormal0"/>
              <w:ind w:left="283"/>
            </w:pPr>
            <w:r>
              <w:t>11100</w:t>
            </w:r>
          </w:p>
        </w:tc>
      </w:tr>
    </w:tbl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jc w:val="both"/>
      </w:pPr>
    </w:p>
    <w:p w:rsidR="006B5BDF" w:rsidRDefault="006B5BD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5BDF" w:rsidSect="0083055F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851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B8" w:rsidRDefault="00C136B8" w:rsidP="006B5BDF">
      <w:r>
        <w:separator/>
      </w:r>
    </w:p>
  </w:endnote>
  <w:endnote w:type="continuationSeparator" w:id="0">
    <w:p w:rsidR="00C136B8" w:rsidRDefault="00C136B8" w:rsidP="006B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DF" w:rsidRDefault="006B5BDF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DF" w:rsidRDefault="006B5BDF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B8" w:rsidRDefault="00C136B8" w:rsidP="006B5BDF">
      <w:r>
        <w:separator/>
      </w:r>
    </w:p>
  </w:footnote>
  <w:footnote w:type="continuationSeparator" w:id="0">
    <w:p w:rsidR="00C136B8" w:rsidRDefault="00C136B8" w:rsidP="006B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DF" w:rsidRDefault="006B5BDF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DF" w:rsidRDefault="006B5BDF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5BDF"/>
    <w:rsid w:val="006B5BDF"/>
    <w:rsid w:val="0083055F"/>
    <w:rsid w:val="00C1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B5BD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B5BD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B5BD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B5BD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B5BD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B5BD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B5BD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B5BD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3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012002CC122A75E27BE65E66DB183E730B14BD24617B7BF53E5D2174382908B6A3E01B7285A5DB35E2369C9B257794C22D3DD635F7B18W0AFJ" TargetMode="External"/><Relationship Id="rId18" Type="http://schemas.openxmlformats.org/officeDocument/2006/relationships/hyperlink" Target="consultantplus://offline/ref=2A0012002CC122A75E27BE65E66DB183E730B14BD24617B7BF53E5D2174382908B6A3E01B7285A5DB55E2369C9B257794C22D3DD635F7B18W0AFJ" TargetMode="External"/><Relationship Id="rId26" Type="http://schemas.openxmlformats.org/officeDocument/2006/relationships/hyperlink" Target="consultantplus://offline/ref=2A0012002CC122A75E27BE65E66DB183E730B14BD24617B7BF53E5D2174382908B6A3E01B7285A5EB65E2369C9B257794C22D3DD635F7B18W0AFJ" TargetMode="External"/><Relationship Id="rId39" Type="http://schemas.openxmlformats.org/officeDocument/2006/relationships/hyperlink" Target="consultantplus://offline/ref=2A0012002CC122A75E27BE65E66DB183E730B14BD24617B7BF53E5D2174382908B6A3E01B7285A5FBB5E2369C9B257794C22D3DD635F7B18W0A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012002CC122A75E27BE65E66DB183E730B14BD24617B7BF53E5D2174382908B6A3E01B7285A5DBA5E2369C9B257794C22D3DD635F7B18W0AFJ" TargetMode="External"/><Relationship Id="rId34" Type="http://schemas.openxmlformats.org/officeDocument/2006/relationships/hyperlink" Target="consultantplus://offline/ref=2A0012002CC122A75E27BE65E66DB183E730B14BD24617B7BF53E5D2174382908B6A3E01B7285A5FB25E2369C9B257794C22D3DD635F7B18W0AFJ" TargetMode="External"/><Relationship Id="rId42" Type="http://schemas.openxmlformats.org/officeDocument/2006/relationships/hyperlink" Target="consultantplus://offline/ref=2A0012002CC122A75E27BE65E66DB183E730B14BD24617B7BF53E5D2174382908B6A3E01B7285A58B65E2369C9B257794C22D3DD635F7B18W0AFJ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A0012002CC122A75E27BE65E66DB183E730B94AD24617B7BF53E5D2174382908B6A3E07B3230E0DF7007A398DF95B79523ED2DEW7AFJ" TargetMode="External"/><Relationship Id="rId12" Type="http://schemas.openxmlformats.org/officeDocument/2006/relationships/hyperlink" Target="consultantplus://offline/ref=2A0012002CC122A75E27BE65E66DB183E733B840D74617B7BF53E5D217438290996A660DB628445DB24B75388FWEA5J" TargetMode="External"/><Relationship Id="rId17" Type="http://schemas.openxmlformats.org/officeDocument/2006/relationships/hyperlink" Target="consultantplus://offline/ref=2A0012002CC122A75E27BE65E66DB183E733B840D74617B7BF53E5D217438290996A660DB628445DB24B75388FWEA5J" TargetMode="External"/><Relationship Id="rId25" Type="http://schemas.openxmlformats.org/officeDocument/2006/relationships/hyperlink" Target="consultantplus://offline/ref=2A0012002CC122A75E27BE65E66DB183E730B14BD24617B7BF53E5D2174382908B6A3E01B7285A5EB05E2369C9B257794C22D3DD635F7B18W0AFJ" TargetMode="External"/><Relationship Id="rId33" Type="http://schemas.openxmlformats.org/officeDocument/2006/relationships/hyperlink" Target="consultantplus://offline/ref=2A0012002CC122A75E27BE65E66DB183E733B94CD94A17B7BF53E5D2174382908B6A3E06B1205108E21122358CE744794D22D0DC7FW5AFJ" TargetMode="External"/><Relationship Id="rId38" Type="http://schemas.openxmlformats.org/officeDocument/2006/relationships/hyperlink" Target="consultantplus://offline/ref=2A0012002CC122A75E27BE65E66DB183E730B14BD24617B7BF53E5D2174382908B6A3E01B7285A5FB45E2369C9B257794C22D3DD635F7B18W0AFJ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012002CC122A75E27BE65E66DB183E730B14BD24617B7BF53E5D2174382908B6A3E01B7285A5DB75E2369C9B257794C22D3DD635F7B18W0AFJ" TargetMode="External"/><Relationship Id="rId20" Type="http://schemas.openxmlformats.org/officeDocument/2006/relationships/hyperlink" Target="consultantplus://offline/ref=2A0012002CC122A75E27BE65E66DB183E730B14BD24617B7BF53E5D2174382908B6A3E01B7285A5DB45E2369C9B257794C22D3DD635F7B18W0AFJ" TargetMode="External"/><Relationship Id="rId29" Type="http://schemas.openxmlformats.org/officeDocument/2006/relationships/hyperlink" Target="consultantplus://offline/ref=2A0012002CC122A75E27BE65E66DB183E730B14BD24617B7BF53E5D2174382908B6A3E01B7285A5EBA5E2369C9B257794C22D3DD635F7B18W0AFJ" TargetMode="External"/><Relationship Id="rId41" Type="http://schemas.openxmlformats.org/officeDocument/2006/relationships/hyperlink" Target="consultantplus://offline/ref=2A0012002CC122A75E27BE65E66DB183E730B14BD24617B7BF53E5D2174382908B6A3E01B7285A58B25E2369C9B257794C22D3DD635F7B18W0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BE65E66DB183E730B14BD24617B7BF53E5D2174382908B6A3E01B7285A5CB55E2369C9B257794C22D3DD635F7B18W0AFJ" TargetMode="External"/><Relationship Id="rId11" Type="http://schemas.openxmlformats.org/officeDocument/2006/relationships/hyperlink" Target="consultantplus://offline/ref=2A0012002CC122A75E27BE65E66DB183E733B94CD94A17B7BF53E5D2174382908B6A3E03B02A5108E21122358CE744794D22D0DC7FW5AFJ" TargetMode="External"/><Relationship Id="rId24" Type="http://schemas.openxmlformats.org/officeDocument/2006/relationships/hyperlink" Target="consultantplus://offline/ref=2A0012002CC122A75E27BE65E66DB183E733B840D74617B7BF53E5D217438290996A660DB628445DB24B75388FWEA5J" TargetMode="External"/><Relationship Id="rId32" Type="http://schemas.openxmlformats.org/officeDocument/2006/relationships/hyperlink" Target="consultantplus://offline/ref=2A0012002CC122A75E27BE65E66DB183E733B94CD94A17B7BF53E5D2174382908B6A3E05B62F5108E21122358CE744794D22D0DC7FW5AFJ" TargetMode="External"/><Relationship Id="rId37" Type="http://schemas.openxmlformats.org/officeDocument/2006/relationships/hyperlink" Target="consultantplus://offline/ref=2A0012002CC122A75E27BE65E66DB183E730B14BD24617B7BF53E5D2174382908B6A3E01B7285A5FB65E2369C9B257794C22D3DD635F7B18W0AFJ" TargetMode="External"/><Relationship Id="rId40" Type="http://schemas.openxmlformats.org/officeDocument/2006/relationships/hyperlink" Target="consultantplus://offline/ref=2A0012002CC122A75E27BE65E66DB183E730B14BD24617B7BF53E5D2174382908B6A3E01B7285A5FBA5E2369C9B257794C22D3DD635F7B18W0AFJ" TargetMode="External"/><Relationship Id="rId45" Type="http://schemas.openxmlformats.org/officeDocument/2006/relationships/hyperlink" Target="consultantplus://offline/ref=2A0012002CC122A75E27BE65E66DB183E730B14BD24617B7BF53E5D2174382908B6A3E01B7285A58BA5E2369C9B257794C22D3DD635F7B18W0AF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0012002CC122A75E27BE65E66DB183E730B14BD24617B7BF53E5D2174382908B6A3E01B7285A5DB15E2369C9B257794C22D3DD635F7B18W0AFJ" TargetMode="External"/><Relationship Id="rId23" Type="http://schemas.openxmlformats.org/officeDocument/2006/relationships/hyperlink" Target="consultantplus://offline/ref=2A0012002CC122A75E27BE65E66DB183E730B14BD24617B7BF53E5D2174382908B6A3E01B7285A5EB25E2369C9B257794C22D3DD635F7B18W0AFJ" TargetMode="External"/><Relationship Id="rId28" Type="http://schemas.openxmlformats.org/officeDocument/2006/relationships/hyperlink" Target="consultantplus://offline/ref=2A0012002CC122A75E27BE65E66DB183E730B14BD24617B7BF53E5D2174382908B6A3E01B7285A5EB45E2369C9B257794C22D3DD635F7B18W0AFJ" TargetMode="External"/><Relationship Id="rId36" Type="http://schemas.openxmlformats.org/officeDocument/2006/relationships/hyperlink" Target="consultantplus://offline/ref=2A0012002CC122A75E27BE65E66DB183E730B14BD24617B7BF53E5D2174382908B6A3E01B7285A5FB75E2369C9B257794C22D3DD635F7B18W0AFJ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2A0012002CC122A75E27BE65E66DB183E730B94AD24617B7BF53E5D2174382908B6A3E07B3230E0DF7007A398DF95B79523ED2DEW7AFJ" TargetMode="External"/><Relationship Id="rId19" Type="http://schemas.openxmlformats.org/officeDocument/2006/relationships/hyperlink" Target="consultantplus://offline/ref=2A0012002CC122A75E27BE65E66DB183E733B94CD94A17B7BF53E5D2174382908B6A3E07B4285108E21122358CE744794D22D0DC7FW5AFJ" TargetMode="External"/><Relationship Id="rId31" Type="http://schemas.openxmlformats.org/officeDocument/2006/relationships/hyperlink" Target="consultantplus://offline/ref=2A0012002CC122A75E27BE65E66DB183E733B94CD94A17B7BF53E5D2174382908B6A3E04BF2A5108E21122358CE744794D22D0DC7FW5AFJ" TargetMode="External"/><Relationship Id="rId44" Type="http://schemas.openxmlformats.org/officeDocument/2006/relationships/hyperlink" Target="consultantplus://offline/ref=2A0012002CC122A75E27BE65E66DB183E730B14BD24617B7BF53E5D2174382908B6A3E01B7285A58BB5E2369C9B257794C22D3DD635F7B18W0A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0012002CC122A75E27BE65E66DB183E730B14BD24617B7BF53E5D2174382908B6A3E01B7285A5CB55E2369C9B257794C22D3DD635F7B18W0AFJ" TargetMode="External"/><Relationship Id="rId14" Type="http://schemas.openxmlformats.org/officeDocument/2006/relationships/hyperlink" Target="consultantplus://offline/ref=2A0012002CC122A75E27BE65E66DB183E733B94CD94A17B7BF53E5D2174382908B6A3E07B4285108E21122358CE744794D22D0DC7FW5AFJ" TargetMode="External"/><Relationship Id="rId22" Type="http://schemas.openxmlformats.org/officeDocument/2006/relationships/hyperlink" Target="consultantplus://offline/ref=2A0012002CC122A75E27BE65E66DB183E730B14BD24617B7BF53E5D2174382908B6A3E01B7285A5EB35E2369C9B257794C22D3DD635F7B18W0AFJ" TargetMode="External"/><Relationship Id="rId27" Type="http://schemas.openxmlformats.org/officeDocument/2006/relationships/hyperlink" Target="consultantplus://offline/ref=2A0012002CC122A75E27BE65E66DB183E730B14BD24617B7BF53E5D2174382908B6A3E01B7285A5EB55E2369C9B257794C22D3DD635F7B18W0AFJ" TargetMode="External"/><Relationship Id="rId30" Type="http://schemas.openxmlformats.org/officeDocument/2006/relationships/hyperlink" Target="consultantplus://offline/ref=2A0012002CC122A75E27BE65E66DB183E730B14BD24617B7BF53E5D2174382908B6A3E01B7285A5FB35E2369C9B257794C22D3DD635F7B18W0AFJ" TargetMode="External"/><Relationship Id="rId35" Type="http://schemas.openxmlformats.org/officeDocument/2006/relationships/hyperlink" Target="consultantplus://offline/ref=2A0012002CC122A75E27BE65E66DB183E730B14BD24617B7BF53E5D2174382908B6A3E01B7285A5FB05E2369C9B257794C22D3DD635F7B18W0AFJ" TargetMode="External"/><Relationship Id="rId43" Type="http://schemas.openxmlformats.org/officeDocument/2006/relationships/hyperlink" Target="consultantplus://offline/ref=2A0012002CC122A75E27BE65E66DB183E730B14BD24617B7BF53E5D2174382908B6A3E01B7285A58B55E2369C9B257794C22D3DD635F7B18W0AFJ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2A0012002CC122A75E27BE65E66DB183E236BF49D74617B7BF53E5D217438290996A660DB628445DB24B75388FWEA5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7376</Words>
  <Characters>42045</Characters>
  <Application>Microsoft Office Word</Application>
  <DocSecurity>0</DocSecurity>
  <Lines>350</Lines>
  <Paragraphs>98</Paragraphs>
  <ScaleCrop>false</ScaleCrop>
  <Company>КонсультантПлюс Версия 4022.00.21</Company>
  <LinksUpToDate>false</LinksUpToDate>
  <CharactersWithSpaces>49323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29.10.2020 N 865
(ред. от 27.12.2021)
"Об утверждении Порядка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недр"
(Зарегистрировано в Минюсте России 03.02.2021 N 62351)</dc:title>
  <cp:lastModifiedBy>Ирина</cp:lastModifiedBy>
  <cp:revision>2</cp:revision>
  <dcterms:created xsi:type="dcterms:W3CDTF">2022-11-10T09:00:00Z</dcterms:created>
  <dcterms:modified xsi:type="dcterms:W3CDTF">2022-11-10T09:45:00Z</dcterms:modified>
</cp:coreProperties>
</file>